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AE56C20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12369814" w:rsidR="00D33FD6" w:rsidRDefault="001456E6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CCQ </w:t>
            </w:r>
          </w:p>
        </w:tc>
      </w:tr>
      <w:tr w:rsidR="00D33FD6" w14:paraId="4B8314A5" w14:textId="77777777" w:rsidTr="7AE56C20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4A36BB91" w:rsidR="00D33FD6" w:rsidRDefault="001456E6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Patrick Stewart-Reid</w:t>
            </w:r>
          </w:p>
        </w:tc>
      </w:tr>
      <w:tr w:rsidR="00D33FD6" w14:paraId="2172A1F0" w14:textId="77777777" w:rsidTr="7AE56C20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655FBBB9" w:rsidR="00D33FD6" w:rsidRDefault="51B76FD4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AE56C20">
              <w:rPr>
                <w:b/>
                <w:bCs/>
                <w:color w:val="000000" w:themeColor="text1"/>
              </w:rPr>
              <w:t>Cycle</w:t>
            </w:r>
            <w:r w:rsidR="001456E6">
              <w:rPr>
                <w:b/>
                <w:bCs/>
                <w:color w:val="000000" w:themeColor="text1"/>
              </w:rPr>
              <w:t xml:space="preserve"> </w:t>
            </w:r>
            <w:r w:rsidR="00E75E97">
              <w:rPr>
                <w:b/>
                <w:bCs/>
                <w:color w:val="000000" w:themeColor="text1"/>
              </w:rPr>
              <w:t>1</w:t>
            </w:r>
            <w:r w:rsidRPr="7AE56C20">
              <w:rPr>
                <w:b/>
                <w:bCs/>
                <w:color w:val="000000" w:themeColor="text1"/>
              </w:rPr>
              <w:t xml:space="preserve"> </w:t>
            </w:r>
            <w:r w:rsidR="0889915B" w:rsidRPr="7AE56C20">
              <w:rPr>
                <w:b/>
                <w:bCs/>
                <w:color w:val="000000" w:themeColor="text1"/>
              </w:rPr>
              <w:t xml:space="preserve"> </w:t>
            </w:r>
            <w:r w:rsidRPr="7AE56C20">
              <w:rPr>
                <w:b/>
                <w:bCs/>
                <w:color w:val="000000" w:themeColor="text1"/>
              </w:rPr>
              <w:t xml:space="preserve"> Level </w:t>
            </w:r>
            <w:r w:rsidR="00196DB0">
              <w:rPr>
                <w:b/>
                <w:bCs/>
                <w:color w:val="000000" w:themeColor="text1"/>
              </w:rPr>
              <w:t>2</w:t>
            </w:r>
          </w:p>
        </w:tc>
      </w:tr>
      <w:tr w:rsidR="00D33FD6" w14:paraId="057A1D1D" w14:textId="77777777" w:rsidTr="7AE56C20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4AAEFA2C" w:rsidR="00D33FD6" w:rsidRDefault="6E9521BA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202</w:t>
            </w:r>
            <w:r w:rsidR="00810F7C">
              <w:rPr>
                <w:b/>
                <w:bCs/>
                <w:color w:val="000000" w:themeColor="text1"/>
              </w:rPr>
              <w:t>5</w:t>
            </w:r>
            <w:r w:rsidRPr="7EE7EB0B">
              <w:rPr>
                <w:b/>
                <w:bCs/>
                <w:color w:val="000000" w:themeColor="text1"/>
              </w:rPr>
              <w:t>-202</w:t>
            </w:r>
            <w:r w:rsidR="00810F7C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0D0B940D" w14:textId="77777777" w:rsidTr="4906E74B">
        <w:trPr>
          <w:trHeight w:val="1725"/>
        </w:trPr>
        <w:tc>
          <w:tcPr>
            <w:tcW w:w="4275" w:type="dxa"/>
            <w:vAlign w:val="center"/>
          </w:tcPr>
          <w:p w14:paraId="0E27B00A" w14:textId="6F718094" w:rsidR="00D33FD6" w:rsidRDefault="00517B22" w:rsidP="00517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517B22">
              <w:rPr>
                <w:color w:val="000000"/>
              </w:rPr>
              <w:t>Studies cultural realities</w:t>
            </w:r>
            <w:r w:rsidR="00ED343F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</w:t>
            </w:r>
            <w:r w:rsidRPr="00517B22">
              <w:rPr>
                <w:color w:val="000000"/>
              </w:rPr>
              <w:t>50%</w:t>
            </w:r>
          </w:p>
          <w:p w14:paraId="2D03CE19" w14:textId="705EA533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ED343F">
              <w:rPr>
                <w:color w:val="000000"/>
              </w:rPr>
              <w:t xml:space="preserve">Reflects on ethical </w:t>
            </w:r>
            <w:proofErr w:type="gramStart"/>
            <w:r w:rsidRPr="00ED343F">
              <w:rPr>
                <w:color w:val="000000"/>
              </w:rPr>
              <w:t>questions</w:t>
            </w:r>
            <w:r>
              <w:rPr>
                <w:color w:val="000000"/>
              </w:rPr>
              <w:t xml:space="preserve">  </w:t>
            </w:r>
            <w:r w:rsidRPr="00ED343F">
              <w:rPr>
                <w:color w:val="000000"/>
              </w:rPr>
              <w:t>50</w:t>
            </w:r>
            <w:proofErr w:type="gramEnd"/>
            <w:r w:rsidRPr="00ED343F">
              <w:rPr>
                <w:color w:val="000000"/>
              </w:rPr>
              <w:t>%</w:t>
            </w:r>
          </w:p>
          <w:p w14:paraId="17273EC4" w14:textId="77777777" w:rsidR="00517B22" w:rsidRDefault="00517B22" w:rsidP="00517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60061E4C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57B86663" w14:textId="2B964809" w:rsidR="00AF61AC" w:rsidRDefault="00AF61AC" w:rsidP="0090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Through discussion, written reflection, and </w:t>
            </w:r>
            <w:proofErr w:type="gramStart"/>
            <w:r>
              <w:rPr>
                <w:color w:val="000000"/>
              </w:rPr>
              <w:t>project based</w:t>
            </w:r>
            <w:proofErr w:type="gramEnd"/>
            <w:r>
              <w:rPr>
                <w:color w:val="000000"/>
              </w:rPr>
              <w:t xml:space="preserve"> learning: </w:t>
            </w:r>
          </w:p>
          <w:p w14:paraId="71BD0892" w14:textId="37B5E253" w:rsidR="009024FB" w:rsidRPr="009024FB" w:rsidRDefault="009024FB" w:rsidP="0090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Proficiency in knowledge</w:t>
            </w:r>
          </w:p>
          <w:p w14:paraId="7BFEBFDF" w14:textId="57B8C932" w:rsidR="009024FB" w:rsidRPr="009024FB" w:rsidRDefault="009024FB" w:rsidP="0090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related to cultural realities</w:t>
            </w:r>
            <w:r>
              <w:rPr>
                <w:color w:val="000000"/>
              </w:rPr>
              <w:t>.</w:t>
            </w:r>
          </w:p>
          <w:p w14:paraId="4E596009" w14:textId="6B212811" w:rsidR="009024FB" w:rsidRPr="009024FB" w:rsidRDefault="009024FB" w:rsidP="0090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Quality of the procedure</w:t>
            </w:r>
            <w:r>
              <w:rPr>
                <w:color w:val="000000"/>
              </w:rPr>
              <w:t>.</w:t>
            </w:r>
          </w:p>
          <w:p w14:paraId="3DEEC669" w14:textId="612DDE4C" w:rsidR="00D33FD6" w:rsidRPr="009024FB" w:rsidRDefault="009024FB" w:rsidP="00902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Understanding</w:t>
            </w:r>
            <w:r>
              <w:rPr>
                <w:color w:val="000000"/>
              </w:rPr>
              <w:t xml:space="preserve"> </w:t>
            </w:r>
            <w:r w:rsidRPr="009024FB">
              <w:rPr>
                <w:color w:val="000000"/>
              </w:rPr>
              <w:t>of cultural realities</w:t>
            </w:r>
            <w:r w:rsidR="00AF61AC">
              <w:rPr>
                <w:color w:val="000000"/>
              </w:rPr>
              <w:t>.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3FAB184C" w:rsidR="00D33FD6" w:rsidRDefault="000717C2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September 2</w:t>
            </w:r>
            <w:r w:rsidRPr="000717C2">
              <w:rPr>
                <w:b/>
                <w:bCs/>
                <w:color w:val="000000" w:themeColor="text1"/>
                <w:vertAlign w:val="superscript"/>
              </w:rPr>
              <w:t>nd</w:t>
            </w:r>
            <w:r>
              <w:rPr>
                <w:b/>
                <w:bCs/>
                <w:color w:val="000000" w:themeColor="text1"/>
              </w:rPr>
              <w:t>,</w:t>
            </w:r>
            <w:r w:rsidR="770A48B5" w:rsidRPr="7EE7EB0B">
              <w:rPr>
                <w:b/>
                <w:bCs/>
                <w:color w:val="000000" w:themeColor="text1"/>
              </w:rPr>
              <w:t xml:space="preserve"> </w:t>
            </w:r>
            <w:r w:rsidR="0B9AD346" w:rsidRPr="7EE7EB0B">
              <w:rPr>
                <w:b/>
                <w:bCs/>
                <w:color w:val="000000" w:themeColor="text1"/>
              </w:rPr>
              <w:t>202</w:t>
            </w:r>
            <w:r w:rsidR="00810F7C">
              <w:rPr>
                <w:b/>
                <w:bCs/>
                <w:color w:val="000000" w:themeColor="text1"/>
              </w:rPr>
              <w:t>5</w:t>
            </w:r>
          </w:p>
          <w:p w14:paraId="17EF77F0" w14:textId="299018FE" w:rsidR="00D33FD6" w:rsidRDefault="4C04433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28176E75" w:rsidR="00D33FD6" w:rsidRDefault="0B9AD34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November </w:t>
            </w:r>
            <w:r w:rsidR="470AEFA3" w:rsidRPr="7EE7EB0B">
              <w:rPr>
                <w:b/>
                <w:bCs/>
                <w:color w:val="000000" w:themeColor="text1"/>
              </w:rPr>
              <w:t>1</w:t>
            </w:r>
            <w:r w:rsidR="000717C2">
              <w:rPr>
                <w:b/>
                <w:bCs/>
                <w:color w:val="000000" w:themeColor="text1"/>
              </w:rPr>
              <w:t>6</w:t>
            </w:r>
            <w:r w:rsidR="000717C2" w:rsidRPr="000717C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6A7B52E6" w:rsidRPr="7EE7EB0B">
              <w:rPr>
                <w:b/>
                <w:bCs/>
                <w:color w:val="000000" w:themeColor="text1"/>
              </w:rPr>
              <w:t>,</w:t>
            </w:r>
            <w:r w:rsidRPr="7EE7EB0B">
              <w:rPr>
                <w:b/>
                <w:bCs/>
                <w:color w:val="000000" w:themeColor="text1"/>
              </w:rPr>
              <w:t xml:space="preserve"> 202</w:t>
            </w:r>
            <w:r w:rsidR="00810F7C">
              <w:rPr>
                <w:b/>
                <w:bCs/>
                <w:color w:val="000000" w:themeColor="text1"/>
              </w:rPr>
              <w:t>5</w:t>
            </w:r>
          </w:p>
        </w:tc>
      </w:tr>
      <w:tr w:rsidR="3B66EE96" w14:paraId="52778E4F" w14:textId="77777777" w:rsidTr="4906E74B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6211AA60" w:rsidR="3B66EE96" w:rsidRDefault="3B66EE96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906E74B">
        <w:tc>
          <w:tcPr>
            <w:tcW w:w="4275" w:type="dxa"/>
            <w:vAlign w:val="center"/>
          </w:tcPr>
          <w:p w14:paraId="7E2DB645" w14:textId="45B19A04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496E5375" w14:textId="5DED6552" w:rsidR="008C5AD6" w:rsidRDefault="008C5A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714C8BF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  <w:r w:rsidR="00F812A2" w:rsidRPr="00F812A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812A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38B5E821" w:rsidR="0BC9FC3C" w:rsidRDefault="0322EDC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00F812A2">
              <w:rPr>
                <w:color w:val="000000" w:themeColor="text1"/>
                <w:sz w:val="20"/>
                <w:szCs w:val="20"/>
              </w:rPr>
              <w:t>19</w:t>
            </w:r>
            <w:r w:rsidR="00F812A2" w:rsidRPr="00F812A2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812A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41FF6D8F" w:rsidR="00D33FD6" w:rsidRDefault="29E3610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7216117D" w:rsidRPr="7EE7EB0B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00B31BD7">
              <w:rPr>
                <w:color w:val="000000" w:themeColor="text1"/>
                <w:sz w:val="20"/>
                <w:szCs w:val="20"/>
              </w:rPr>
              <w:t>20</w:t>
            </w:r>
            <w:r w:rsidR="00B31BD7" w:rsidRPr="00B31BD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5B9D435E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1CA74713" w:rsidR="00D33FD6" w:rsidRDefault="00ED343F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>
              <w:rPr>
                <w:color w:val="000000" w:themeColor="text1"/>
              </w:rPr>
              <w:t xml:space="preserve">Students will </w:t>
            </w:r>
            <w:r w:rsidR="00250627">
              <w:rPr>
                <w:color w:val="000000" w:themeColor="text1"/>
              </w:rPr>
              <w:t>be introduced to various units/topics</w:t>
            </w:r>
            <w:r w:rsidR="00110F44">
              <w:rPr>
                <w:color w:val="000000" w:themeColor="text1"/>
              </w:rPr>
              <w:t xml:space="preserve"> that deal with culture and ethics in or relating to Quebec. This course is a </w:t>
            </w:r>
            <w:r w:rsidR="00B31BD7">
              <w:rPr>
                <w:color w:val="000000" w:themeColor="text1"/>
              </w:rPr>
              <w:t>project-based</w:t>
            </w:r>
            <w:r w:rsidR="00110F44">
              <w:rPr>
                <w:color w:val="000000" w:themeColor="text1"/>
              </w:rPr>
              <w:t xml:space="preserve"> inquiry </w:t>
            </w:r>
            <w:r w:rsidR="00B4105F">
              <w:rPr>
                <w:color w:val="000000" w:themeColor="text1"/>
              </w:rPr>
              <w:t>that will lead to group discussions and debates. Students are asked to reflect on their learning.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906E74B">
        <w:tc>
          <w:tcPr>
            <w:tcW w:w="4305" w:type="dxa"/>
            <w:vAlign w:val="center"/>
          </w:tcPr>
          <w:p w14:paraId="5DFE9A29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517B22">
              <w:rPr>
                <w:color w:val="000000"/>
              </w:rPr>
              <w:t>Studies cultural realities</w:t>
            </w:r>
            <w:r>
              <w:rPr>
                <w:color w:val="000000"/>
              </w:rPr>
              <w:t xml:space="preserve">          </w:t>
            </w:r>
            <w:r w:rsidRPr="00517B22">
              <w:rPr>
                <w:color w:val="000000"/>
              </w:rPr>
              <w:t>50%</w:t>
            </w:r>
          </w:p>
          <w:p w14:paraId="0B6CF861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ED343F">
              <w:rPr>
                <w:color w:val="000000"/>
              </w:rPr>
              <w:t xml:space="preserve">Reflects on ethical </w:t>
            </w:r>
            <w:proofErr w:type="gramStart"/>
            <w:r w:rsidRPr="00ED343F">
              <w:rPr>
                <w:color w:val="000000"/>
              </w:rPr>
              <w:t>questions</w:t>
            </w:r>
            <w:r>
              <w:rPr>
                <w:color w:val="000000"/>
              </w:rPr>
              <w:t xml:space="preserve">  </w:t>
            </w:r>
            <w:r w:rsidRPr="00ED343F">
              <w:rPr>
                <w:color w:val="000000"/>
              </w:rPr>
              <w:t>50</w:t>
            </w:r>
            <w:proofErr w:type="gramEnd"/>
            <w:r w:rsidRPr="00ED343F">
              <w:rPr>
                <w:color w:val="000000"/>
              </w:rPr>
              <w:t>%</w:t>
            </w:r>
          </w:p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21928DE7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Through discussion, written reflection, and </w:t>
            </w:r>
            <w:proofErr w:type="gramStart"/>
            <w:r>
              <w:rPr>
                <w:color w:val="000000"/>
              </w:rPr>
              <w:t>project based</w:t>
            </w:r>
            <w:proofErr w:type="gramEnd"/>
            <w:r>
              <w:rPr>
                <w:color w:val="000000"/>
              </w:rPr>
              <w:t xml:space="preserve"> learning: </w:t>
            </w:r>
          </w:p>
          <w:p w14:paraId="0E5A91E4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Proficiency in knowledge</w:t>
            </w:r>
          </w:p>
          <w:p w14:paraId="439B896E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related to cultural realities</w:t>
            </w:r>
            <w:r>
              <w:rPr>
                <w:color w:val="000000"/>
              </w:rPr>
              <w:t>.</w:t>
            </w:r>
          </w:p>
          <w:p w14:paraId="40F4243E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Quality of the procedure</w:t>
            </w:r>
            <w:r>
              <w:rPr>
                <w:color w:val="000000"/>
              </w:rPr>
              <w:t>.</w:t>
            </w:r>
          </w:p>
          <w:p w14:paraId="3461D779" w14:textId="711F2BD9" w:rsidR="00D33FD6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</w:rPr>
            </w:pPr>
            <w:r w:rsidRPr="009024FB">
              <w:rPr>
                <w:color w:val="000000"/>
              </w:rPr>
              <w:t>Understanding</w:t>
            </w:r>
            <w:r>
              <w:rPr>
                <w:color w:val="000000"/>
              </w:rPr>
              <w:t xml:space="preserve"> </w:t>
            </w:r>
            <w:r w:rsidRPr="009024FB">
              <w:rPr>
                <w:color w:val="000000"/>
              </w:rPr>
              <w:t>of cultural realities</w:t>
            </w:r>
            <w:r>
              <w:rPr>
                <w:color w:val="000000"/>
              </w:rPr>
              <w:t>.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4FA79802" w:rsidR="00D33FD6" w:rsidRDefault="17475E9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Nov</w:t>
            </w:r>
            <w:r w:rsidR="36E3EF28" w:rsidRPr="7EE7EB0B">
              <w:rPr>
                <w:b/>
                <w:bCs/>
                <w:color w:val="000000" w:themeColor="text1"/>
              </w:rPr>
              <w:t>ember</w:t>
            </w:r>
            <w:r w:rsidRPr="7EE7EB0B">
              <w:rPr>
                <w:b/>
                <w:bCs/>
                <w:color w:val="000000" w:themeColor="text1"/>
              </w:rPr>
              <w:t xml:space="preserve"> </w:t>
            </w:r>
            <w:r w:rsidR="00F108EB">
              <w:rPr>
                <w:b/>
                <w:bCs/>
                <w:color w:val="000000" w:themeColor="text1"/>
              </w:rPr>
              <w:t>10</w:t>
            </w:r>
            <w:r w:rsidR="00F108EB" w:rsidRPr="00F108EB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10996006" w:rsidRPr="7EE7EB0B">
              <w:rPr>
                <w:b/>
                <w:bCs/>
                <w:color w:val="000000" w:themeColor="text1"/>
              </w:rPr>
              <w:t>,</w:t>
            </w:r>
            <w:r w:rsidR="1488E59C" w:rsidRPr="7EE7EB0B">
              <w:rPr>
                <w:b/>
                <w:bCs/>
                <w:color w:val="000000" w:themeColor="text1"/>
              </w:rPr>
              <w:t xml:space="preserve"> </w:t>
            </w:r>
            <w:r w:rsidRPr="7EE7EB0B">
              <w:rPr>
                <w:b/>
                <w:bCs/>
                <w:color w:val="000000" w:themeColor="text1"/>
              </w:rPr>
              <w:t>2024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1D2C996" w:rsidR="3F047334" w:rsidRDefault="17475E9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February </w:t>
            </w:r>
            <w:r w:rsidR="00F108EB">
              <w:rPr>
                <w:b/>
                <w:bCs/>
                <w:color w:val="000000" w:themeColor="text1"/>
              </w:rPr>
              <w:t>6</w:t>
            </w:r>
            <w:r w:rsidR="00F108EB" w:rsidRPr="00F108EB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139D384" w:rsidRPr="7EE7EB0B">
              <w:rPr>
                <w:b/>
                <w:bCs/>
                <w:color w:val="000000" w:themeColor="text1"/>
              </w:rPr>
              <w:t>,</w:t>
            </w:r>
            <w:r w:rsidR="61A7A076" w:rsidRPr="7EE7EB0B">
              <w:rPr>
                <w:b/>
                <w:bCs/>
                <w:color w:val="000000" w:themeColor="text1"/>
              </w:rPr>
              <w:t xml:space="preserve"> </w:t>
            </w:r>
            <w:r w:rsidRPr="7EE7EB0B">
              <w:rPr>
                <w:b/>
                <w:bCs/>
                <w:color w:val="000000" w:themeColor="text1"/>
              </w:rPr>
              <w:t>2025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906E74B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8212A3" w:rsidRDefault="008212A3"/>
        </w:tc>
      </w:tr>
      <w:tr w:rsidR="00D33FD6" w14:paraId="4BF81C08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906E74B">
        <w:tc>
          <w:tcPr>
            <w:tcW w:w="4305" w:type="dxa"/>
            <w:vAlign w:val="center"/>
          </w:tcPr>
          <w:p w14:paraId="5462D305" w14:textId="7777777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64CD74D6" w:rsidR="70B5359C" w:rsidRDefault="4714E78A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222769F" w:rsidRPr="4906E74B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5A0E513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5406F00" w:rsidRPr="4906E74B">
              <w:rPr>
                <w:color w:val="000000" w:themeColor="text1"/>
                <w:sz w:val="20"/>
                <w:szCs w:val="20"/>
              </w:rPr>
              <w:t>February 2</w:t>
            </w:r>
            <w:r w:rsidR="0039758E">
              <w:rPr>
                <w:color w:val="000000" w:themeColor="text1"/>
                <w:sz w:val="20"/>
                <w:szCs w:val="20"/>
              </w:rPr>
              <w:t>5</w:t>
            </w:r>
            <w:r w:rsidR="0039758E" w:rsidRPr="0039758E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39758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42EB6426" w:rsidR="00D33FD6" w:rsidRDefault="6F50D541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4244FF16" w:rsidRPr="7EE7EB0B">
              <w:rPr>
                <w:color w:val="000000" w:themeColor="text1"/>
                <w:sz w:val="20"/>
                <w:szCs w:val="20"/>
              </w:rPr>
              <w:t>February 2</w:t>
            </w:r>
            <w:r w:rsidR="0039758E">
              <w:rPr>
                <w:color w:val="000000" w:themeColor="text1"/>
                <w:sz w:val="20"/>
                <w:szCs w:val="20"/>
              </w:rPr>
              <w:t>6</w:t>
            </w:r>
            <w:r w:rsidR="0039758E" w:rsidRPr="0039758E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5FB87A95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4E7176E6" w:rsidR="00D33FD6" w:rsidRDefault="00B4105F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>
              <w:rPr>
                <w:color w:val="000000" w:themeColor="text1"/>
              </w:rPr>
              <w:t xml:space="preserve">Students will be introduced to various units/topics that deal with culture and ethics in or relating to Quebec. This course is </w:t>
            </w:r>
            <w:proofErr w:type="gramStart"/>
            <w:r>
              <w:rPr>
                <w:color w:val="000000" w:themeColor="text1"/>
              </w:rPr>
              <w:t>an</w:t>
            </w:r>
            <w:proofErr w:type="gramEnd"/>
            <w:r>
              <w:rPr>
                <w:color w:val="000000" w:themeColor="text1"/>
              </w:rPr>
              <w:t xml:space="preserve"> project based inquiry that will lead to group discussions and debates. Students are asked to reflect on their learning.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906E74B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3FE9F23F" w14:textId="77777777" w:rsidTr="4906E74B">
        <w:trPr>
          <w:trHeight w:val="1530"/>
        </w:trPr>
        <w:tc>
          <w:tcPr>
            <w:tcW w:w="4545" w:type="dxa"/>
            <w:vAlign w:val="center"/>
          </w:tcPr>
          <w:p w14:paraId="6E8160C6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517B22">
              <w:rPr>
                <w:color w:val="000000"/>
              </w:rPr>
              <w:t>Studies cultural realities</w:t>
            </w:r>
            <w:r>
              <w:rPr>
                <w:color w:val="000000"/>
              </w:rPr>
              <w:t xml:space="preserve">          </w:t>
            </w:r>
            <w:r w:rsidRPr="00517B22">
              <w:rPr>
                <w:color w:val="000000"/>
              </w:rPr>
              <w:t>50%</w:t>
            </w:r>
          </w:p>
          <w:p w14:paraId="746A8D54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ED343F">
              <w:rPr>
                <w:color w:val="000000"/>
              </w:rPr>
              <w:t xml:space="preserve">Reflects on ethical </w:t>
            </w:r>
            <w:proofErr w:type="gramStart"/>
            <w:r w:rsidRPr="00ED343F">
              <w:rPr>
                <w:color w:val="000000"/>
              </w:rPr>
              <w:t>questions</w:t>
            </w:r>
            <w:r>
              <w:rPr>
                <w:color w:val="000000"/>
              </w:rPr>
              <w:t xml:space="preserve">  </w:t>
            </w:r>
            <w:r w:rsidRPr="00ED343F">
              <w:rPr>
                <w:color w:val="000000"/>
              </w:rPr>
              <w:t>50</w:t>
            </w:r>
            <w:proofErr w:type="gramEnd"/>
            <w:r w:rsidRPr="00ED343F">
              <w:rPr>
                <w:color w:val="000000"/>
              </w:rPr>
              <w:t>%</w:t>
            </w:r>
          </w:p>
          <w:p w14:paraId="1F72F646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397419EE" w14:textId="77777777" w:rsidR="00ED343F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Through discussion, written reflection, and </w:t>
            </w:r>
            <w:proofErr w:type="gramStart"/>
            <w:r>
              <w:rPr>
                <w:color w:val="000000"/>
              </w:rPr>
              <w:t>project based</w:t>
            </w:r>
            <w:proofErr w:type="gramEnd"/>
            <w:r>
              <w:rPr>
                <w:color w:val="000000"/>
              </w:rPr>
              <w:t xml:space="preserve"> learning: </w:t>
            </w:r>
          </w:p>
          <w:p w14:paraId="361396E7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Proficiency in knowledge</w:t>
            </w:r>
          </w:p>
          <w:p w14:paraId="2890F4C9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related to cultural realities</w:t>
            </w:r>
            <w:r>
              <w:rPr>
                <w:color w:val="000000"/>
              </w:rPr>
              <w:t>.</w:t>
            </w:r>
          </w:p>
          <w:p w14:paraId="5C0B86D4" w14:textId="77777777" w:rsidR="00ED343F" w:rsidRPr="009024FB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Quality of the procedure</w:t>
            </w:r>
            <w:r>
              <w:rPr>
                <w:color w:val="000000"/>
              </w:rPr>
              <w:t>.</w:t>
            </w:r>
          </w:p>
          <w:p w14:paraId="61CDCEAD" w14:textId="41405B9E" w:rsidR="00D33FD6" w:rsidRDefault="00ED343F" w:rsidP="00ED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024FB">
              <w:rPr>
                <w:color w:val="000000"/>
              </w:rPr>
              <w:t>Understanding</w:t>
            </w:r>
            <w:r>
              <w:rPr>
                <w:color w:val="000000"/>
              </w:rPr>
              <w:t xml:space="preserve"> </w:t>
            </w:r>
            <w:r w:rsidRPr="009024FB">
              <w:rPr>
                <w:color w:val="000000"/>
              </w:rPr>
              <w:t>of cultural realities</w:t>
            </w:r>
            <w:r>
              <w:rPr>
                <w:color w:val="000000"/>
              </w:rPr>
              <w:t>.</w:t>
            </w:r>
          </w:p>
        </w:tc>
        <w:tc>
          <w:tcPr>
            <w:tcW w:w="2729" w:type="dxa"/>
            <w:vMerge w:val="restart"/>
            <w:vAlign w:val="center"/>
          </w:tcPr>
          <w:p w14:paraId="3CABF23B" w14:textId="77777777" w:rsidR="005D5A33" w:rsidRPr="005D5A33" w:rsidRDefault="005D5A33" w:rsidP="005D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D5A33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005D5A33">
              <w:rPr>
                <w:b/>
                <w:bCs/>
                <w:color w:val="000000" w:themeColor="text1"/>
              </w:rPr>
              <w:t>7,  2026</w:t>
            </w:r>
            <w:proofErr w:type="gramEnd"/>
            <w:r w:rsidRPr="005D5A3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2B788D56" w14:textId="77777777" w:rsidR="005D5A33" w:rsidRPr="005D5A33" w:rsidRDefault="005D5A33" w:rsidP="005D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D5A33">
              <w:rPr>
                <w:b/>
                <w:bCs/>
                <w:color w:val="000000" w:themeColor="text1"/>
              </w:rPr>
              <w:t>to </w:t>
            </w:r>
            <w:r w:rsidRPr="005D5A3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4AD2F628" w14:textId="77777777" w:rsidR="005D5A33" w:rsidRPr="005D5A33" w:rsidRDefault="005D5A33" w:rsidP="005D5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D5A33">
              <w:rPr>
                <w:b/>
                <w:bCs/>
                <w:color w:val="000000" w:themeColor="text1"/>
              </w:rPr>
              <w:t>June 23, 2026</w:t>
            </w:r>
            <w:r w:rsidRPr="005D5A33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6BB9E253" w14:textId="4D9733D3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3B66EE96" w14:paraId="060B268E" w14:textId="77777777" w:rsidTr="4906E74B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66720AA8" w:rsidRDefault="6286642A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70958C9F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426A0B57" w14:textId="28AB63E0" w:rsidR="1CE8ACC0" w:rsidRDefault="7CECDA7D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1CE8ACC0" w:rsidRDefault="40880434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7EACA0AC" w:rsidR="3B66EE96" w:rsidRDefault="3B66EE96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8212A3" w:rsidRDefault="008212A3"/>
        </w:tc>
      </w:tr>
      <w:tr w:rsidR="00D33FD6" w14:paraId="513B138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906E74B">
        <w:tc>
          <w:tcPr>
            <w:tcW w:w="4545" w:type="dxa"/>
            <w:vAlign w:val="center"/>
          </w:tcPr>
          <w:p w14:paraId="06826A76" w14:textId="77777777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4FFD5BA5" w:rsidR="00D33FD6" w:rsidRDefault="008C5A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No formal evaluation.</w:t>
            </w:r>
          </w:p>
        </w:tc>
        <w:tc>
          <w:tcPr>
            <w:tcW w:w="2729" w:type="dxa"/>
            <w:vAlign w:val="center"/>
          </w:tcPr>
          <w:p w14:paraId="6537F28F" w14:textId="541ECADB" w:rsidR="00D33FD6" w:rsidRDefault="00B4105F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See term 1 and 2.</w:t>
            </w:r>
          </w:p>
        </w:tc>
      </w:tr>
      <w:tr w:rsidR="3B66EE96" w14:paraId="52A48472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231099E2"/>
    <w:lvl w:ilvl="0" w:tplc="0564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6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A2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AD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A8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A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43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143E0FB4"/>
    <w:lvl w:ilvl="0" w:tplc="C37A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2B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E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E9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E0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0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EF2E7CE8"/>
    <w:lvl w:ilvl="0" w:tplc="4E14A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B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62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E7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29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25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9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F6C6B48A"/>
    <w:lvl w:ilvl="0" w:tplc="A9B4F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64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8E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8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4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2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06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29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C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2A23"/>
    <w:multiLevelType w:val="hybridMultilevel"/>
    <w:tmpl w:val="921E3036"/>
    <w:lvl w:ilvl="0" w:tplc="FF7CE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27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A0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28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21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49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68645">
    <w:abstractNumId w:val="2"/>
  </w:num>
  <w:num w:numId="2" w16cid:durableId="1439913492">
    <w:abstractNumId w:val="3"/>
  </w:num>
  <w:num w:numId="3" w16cid:durableId="572738230">
    <w:abstractNumId w:val="0"/>
  </w:num>
  <w:num w:numId="4" w16cid:durableId="1155141846">
    <w:abstractNumId w:val="1"/>
  </w:num>
  <w:num w:numId="5" w16cid:durableId="1054743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717C2"/>
    <w:rsid w:val="00110F44"/>
    <w:rsid w:val="00130FFA"/>
    <w:rsid w:val="001456E6"/>
    <w:rsid w:val="00196DB0"/>
    <w:rsid w:val="00250627"/>
    <w:rsid w:val="0039758E"/>
    <w:rsid w:val="005071F6"/>
    <w:rsid w:val="00517B22"/>
    <w:rsid w:val="005D5A33"/>
    <w:rsid w:val="006E59DA"/>
    <w:rsid w:val="00810F7C"/>
    <w:rsid w:val="008212A3"/>
    <w:rsid w:val="008C3BD2"/>
    <w:rsid w:val="008C5AD6"/>
    <w:rsid w:val="009024FB"/>
    <w:rsid w:val="00AB5FE6"/>
    <w:rsid w:val="00ABB238"/>
    <w:rsid w:val="00AD2B0D"/>
    <w:rsid w:val="00AF61AC"/>
    <w:rsid w:val="00B31BD7"/>
    <w:rsid w:val="00B4105F"/>
    <w:rsid w:val="00D33FD6"/>
    <w:rsid w:val="00D3CBE2"/>
    <w:rsid w:val="00E75E97"/>
    <w:rsid w:val="00ED343F"/>
    <w:rsid w:val="00F108EB"/>
    <w:rsid w:val="00F812A2"/>
    <w:rsid w:val="00FF4F07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E9E53C"/>
    <w:rsid w:val="2B5311E0"/>
    <w:rsid w:val="2C27AF84"/>
    <w:rsid w:val="2C41B831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F6C9B7"/>
    <w:rsid w:val="6A690B10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Stewart-Reid, Patrick</cp:lastModifiedBy>
  <cp:revision>27</cp:revision>
  <dcterms:created xsi:type="dcterms:W3CDTF">2024-08-28T11:24:00Z</dcterms:created>
  <dcterms:modified xsi:type="dcterms:W3CDTF">2025-09-14T20:53:00Z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